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bookmarkStart w:id="0" w:name="_GoBack"/>
            <w:bookmarkEnd w:id="0"/>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15.100.1001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 ton her cins çimento ve kirecin taşıtlara yükleme, boşaltma ve istifi (fabrikadan alınan malzemeden yükleme bedeli düşülür.)</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TON</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Malzemenin taşıtlara yüklenmesi, taşıtlardan boşaltılması ve istifi için her türlü hizmet ve masraflar ile müteahhit genel giderleri ve kârı dâhil, 1 ton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1)İhzaratta; işyerindeki malzemenin tartılmasından elde edilen ton cinsinden miktarıdır.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2)İmalatta; malzemenin kullanıldığı imalatın analizinden hesaplanan ton cinsinden miktarıdır.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NOT: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1)Fabrika veya depodan taşıma bedeli ayrıca ödenir.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2)Fabrikadaki yükleme karşılığı olarak birim fiyat bedelinin yarısı düşülür.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3)İhzaratı halinde imalat nakliye bedelinin %80’i ödenir.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15.100.1006</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 ton her cins ve ölçüde pe, hdpe ve pvc esaslı borunun taşıtlara yükleme, boşaltma ve istifi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TON</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Malzemenin taşıtlara yüklenmesi, taşıtlardan boşaltılması ve istifi için her türlü hizmet ve masraflar ile müteahhit genel giderleri ve kârı dâhil, 1 ton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Yerine döşenmiş borunun tipine göre, fabrika katalogundaki metre tul ağırlığı üzerinden hesaplanan ton cinsinden miktarıdır.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Fabrika veya depodan taşıma bedeli ayrıca ödenir.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15.120.1101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Makine ile her derinlik ve her genişlikte yumuşak ve sert toprak kazılması (derin kazı)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Kazının hacmi kazı projesi üzerinden hesaplanır.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1)Bu birim fiyata su zammı, iksa, 25 metre dışındaki taşıma, dolgunun sulama ve sıkıştırma bedelleri dâhil değildir.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2)Derinlik zammı ödenmez.</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15.120.1103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Makine ile her derinlik ve her genişlikte batak ve balçık kazılması (derin kazı)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Batak ve balçık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Kazının hacmi kazı projesi üzerinden hesaplanır.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1)Bu birim fiyata su zammı, iksa, 25 metre dışındaki taşıma, dolgunun sulama ve sıkıştırma bedelleri dâhil değildir.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2)Derinlik zammı ödenmez.</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5</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15.120.1106</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Makine ile patlayıcı madde kullanılarak her derinlik ve her genişlikte sert kaya kazılması (derin kazı)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Sert kayalık zeminde; makina ile patlayıcı deliklerinin açılması, patlayıcı madde doldurulup sıkıştırılması patlatılması, gerekli güvenlik tedbirlerinin alınması,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Kazının hacmi kazı projesi üzerinden hesaplanır.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 İdarenin yazılı izni ile uygulanır.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2) Bu birim fiyata 25 metre dışındaki taşıma, dolgunun sulama ve sıkıştırma bedelleri dâhil değildir.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3)Derinlik zammı ödenmez.</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6</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15.125.1001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Kum temin edilerek, el ile serme, sulama ve sıkıştırma yapılması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Kumun temin edilmesi, alana dökülmesi, el ile serilmesi, tesviye edilmesi, sulanması ve tabaka tabaka tokmaklanarak sıkıştırılması için her türlü işçilik, malzeme ve zayiatı, iş yerinde yükleme, yatay ve düşey taşıma, boşaltma, müteahhit genel giderleri ve kârı dâhil, 1 m3 fiyatı :</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 Projesindeki ölçülere göre hacmi hesaplanır.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43.527.1002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Ø200 mm HDPE ESASLI KORUGE BORU DÖŞENMESİ (SN 8, lastik conta ve boru bedeli dahil)</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MT</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Pr EN 13476-1 'e uygun imal edilen HDPE esaslı koruge kanalizasyon borularının temin edilmesi, döşenmeden önce her türlü deneyi ve muayenesi yapılmış olarak hendek kenarında veya konulacağı yerde hazırlanmış, HDPE koruge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dahil işçilik her türlü masraf, araç ve gereç giderleri, yatay, düşey taşıma, yükleme, boşaltma ile müteahhit karı ve genel giderler dahil (Yalnız, borunun fabrikadan iş başına kadar taşınması ile bu taşımaya ait yükleme, boşaltma ve istif bedeli hariç) HDPE esaslı koruge boru döşenmesinin; 1 metre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12.2202   Ø 200 mm. anma çaplı HDPE esaslı koruge kanalizasyon borusunun döşenmesi m.</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 Döşenmiş haldeki borunun gerçek uzunluğu üzerinden metre olarak hesaplanır.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8</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43.610.1004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KAZI MALZEMESİNDEN MAKİNA İLE HENDEK VE TEMEL DOLGUSU YAPILMASI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Hendek kenarındaki kazı veya hendek kenarına getirilmiş dolgu malzemesinin hendek veya temel kenarından makina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karı ve genel giderleri dahil, (Yalnız, dolgu malzemesinin hendek kenarına kadar taşınması, ve bu taşımaya ait yükleme boşaltma bedeli hariç) hendek kenarındaki kazı malzemesinin makina ile hendek ve temel dolgusu yapılmasının; 1 m3 fiyatı:</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Dolgu boşluğu üzerinden ölçülen metreküp cinsinden hacmidir.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9</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43.665.1032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KANALİZASYON İNŞAATINDA KIRDÖKÜM BACA KAPAĞI YAPILMASI YERİNE KONULMASI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KG</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İdarece onanmış projesine göre, kırdöküm baca kapağının işlenerek hazırlanması, iki kat katranlanması, iş yerine taşınması, yerine konulması için her türlü malzeme ve zayiatı, işçilik, inşaat yerindeki yükleme, yatay ve düşey taşımalar, boşaltmalar, alet ve edevat masraflar, yüklenici karı ve genel giderler dahil, kırdöküm baca kapağı yapılması ve yerine konulmasının; 1 kg fiyatı.</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Yerine konulmadann önce (Yalnız, kapak üzerindeki beton, betonarme demiri, mozayik hariç) tartılarak tespit olunan kilogram cinsinden ağırlığıdır. Tespit edilen bu miktar T.S.E. standartlarında belirtilenn font kapak ağırlığının % 3'den daha fazla olamaz. Daha ağır olması halinde, T.S.E. standartlarında belirtilen ağırlığın % 3'den fazlası ödenmez. Kapak üzerine konulan beton, betonarme demiri, mozaki gibi şeyler tartılmaz ve bunların bedeli ait olduğu pozlardan ödenir.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10</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PİYASA</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Her türlü uygulama proje bedeli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MT</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Her türlü uygulama proje bedeli</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sectPr w:rsidR="009E0DB4" w:rsidRPr="00DA57D6" w:rsidSect="00F839D2">
      <w:headerReference w:type="default" r:id="rId6"/>
      <w:footerReference w:type="even" r:id="rId7"/>
      <w:pgSz w:w="11906" w:h="16838" w:code="9"/>
      <w:pgMar w:top="851" w:right="567" w:bottom="425" w:left="851" w:header="567" w:footer="4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42" w:rsidRDefault="00726E42" w:rsidP="00B67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E42" w:rsidRDefault="00726E42" w:rsidP="00726E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57" w:type="dxa"/>
      </w:tblCellMar>
      <w:tblLook w:val="0000" w:firstRow="0" w:lastRow="0" w:firstColumn="0" w:lastColumn="0" w:noHBand="0" w:noVBand="0"/>
    </w:tblPr>
    <w:tblGrid>
      <w:gridCol w:w="10598"/>
    </w:tblGrid>
    <w:tr w:rsidR="00354ED0" w:rsidRPr="00965B51" w:rsidTr="00965B51">
      <w:tblPrEx>
        <w:tblCellMar>
          <w:top w:w="0" w:type="dxa"/>
          <w:bottom w:w="0" w:type="dxa"/>
        </w:tblCellMar>
      </w:tblPrEx>
      <w:tc>
        <w:tcPr>
          <w:tcW w:w="10598" w:type="dxa"/>
          <w:tcBorders>
            <w:top w:val="nil"/>
            <w:left w:val="nil"/>
            <w:right w:val="nil"/>
          </w:tcBorders>
        </w:tcPr>
        <w:p w:rsidR="00354ED0" w:rsidRPr="00965B51" w:rsidRDefault="00354ED0" w:rsidP="00F3670A">
          <w:pPr>
            <w:rPr>
              <w:rFonts w:ascii="Times New Roman" w:hAnsi="Times New Roman" w:cs="Times New Roman"/>
              <w:b/>
              <w:bCs/>
              <w:sz w:val="20"/>
              <w:szCs w:val="20"/>
            </w:rPr>
          </w:pPr>
        </w:p>
      </w:tc>
    </w:tr>
  </w:tbl>
  <w:p w:rsidR="00354ED0" w:rsidRPr="00965B51" w:rsidRDefault="00354ED0" w:rsidP="00354ED0">
    <w:pPr>
      <w:rPr>
        <w:rFonts w:ascii="Times New Roman" w:hAnsi="Times New Roman" w:cs="Times New Roman"/>
      </w:rPr>
    </w:pPr>
  </w:p>
  <w:p w:rsidR="00354ED0" w:rsidRPr="00354ED0" w:rsidRDefault="00354ED0" w:rsidP="00354ED0">
    <w:pPr>
      <w:spacing w:after="120"/>
      <w:jc w:val="center"/>
      <w:rPr>
        <w:rFonts w:ascii="Times New Roman" w:hAnsi="Times New Roman" w:cs="Times New Roman"/>
        <w:sz w:val="20"/>
        <w:szCs w:val="20"/>
      </w:rPr>
    </w:pPr>
    <w:r w:rsidRPr="0093606D">
      <w:rPr>
        <w:rFonts w:ascii="Times New Roman" w:hAnsi="Times New Roman" w:cs="Times New Roman"/>
        <w:b/>
        <w:bCs/>
        <w:sz w:val="28"/>
        <w:szCs w:val="28"/>
        <w:lang w:val="x-none"/>
      </w:rPr>
      <w:t>İNŞAAT POZ TARİFLERİ</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8512"/>
      <w:gridCol w:w="910"/>
      <w:gridCol w:w="1176"/>
    </w:tblGrid>
    <w:tr w:rsidR="00354ED0" w:rsidRPr="00354ED0" w:rsidTr="00B2179A">
      <w:tc>
        <w:tcPr>
          <w:tcW w:w="8512" w:type="dxa"/>
          <w:vMerge w:val="restart"/>
          <w:tcBorders>
            <w:top w:val="nil"/>
            <w:left w:val="nil"/>
            <w:right w:val="nil"/>
          </w:tcBorders>
          <w:vAlign w:val="center"/>
        </w:tcPr>
        <w:p w:rsidR="00354ED0" w:rsidRPr="00965B51" w:rsidRDefault="00354ED0" w:rsidP="00F3670A">
          <w:pPr>
            <w:contextualSpacing/>
            <w:rPr>
              <w:rFonts w:ascii="Times New Roman" w:hAnsi="Times New Roman" w:cs="Times New Roman"/>
              <w:sz w:val="20"/>
              <w:szCs w:val="20"/>
            </w:rPr>
          </w:pPr>
        </w:p>
      </w:tc>
      <w:tc>
        <w:tcPr>
          <w:tcW w:w="910" w:type="dxa"/>
          <w:tcBorders>
            <w:top w:val="nil"/>
            <w:left w:val="nil"/>
            <w:right w:val="nil"/>
          </w:tcBorders>
          <w:vAlign w:val="center"/>
        </w:tcPr>
        <w:p w:rsidR="00354ED0" w:rsidRPr="00354ED0" w:rsidRDefault="00ED0065" w:rsidP="00A626CD">
          <w:pPr>
            <w:rPr>
              <w:rFonts w:ascii="Times New Roman" w:hAnsi="Times New Roman" w:cs="Times New Roman"/>
              <w:b/>
              <w:bCs/>
              <w:sz w:val="20"/>
              <w:szCs w:val="20"/>
            </w:rPr>
          </w:pPr>
          <w:r w:rsidRPr="00354ED0">
            <w:rPr>
              <w:rFonts w:ascii="Times New Roman" w:hAnsi="Times New Roman" w:cs="Times New Roman"/>
              <w:b/>
              <w:bCs/>
              <w:sz w:val="20"/>
              <w:szCs w:val="20"/>
            </w:rPr>
            <w:t>Sayfa No</w:t>
          </w:r>
        </w:p>
      </w:tc>
      <w:tc>
        <w:tcPr>
          <w:tcW w:w="1176" w:type="dxa"/>
          <w:tcBorders>
            <w:top w:val="nil"/>
            <w:left w:val="nil"/>
            <w:right w:val="nil"/>
          </w:tcBorders>
          <w:vAlign w:val="center"/>
        </w:tcPr>
        <w:p w:rsidR="00354ED0" w:rsidRPr="00354ED0" w:rsidRDefault="00ED0065" w:rsidP="00150FD5">
          <w:pPr>
            <w:rPr>
              <w:rFonts w:ascii="Times New Roman" w:hAnsi="Times New Roman" w:cs="Times New Roman"/>
              <w:b/>
              <w:bCs/>
              <w:sz w:val="20"/>
              <w:szCs w:val="20"/>
            </w:rPr>
          </w:pPr>
          <w:r w:rsidRPr="00354ED0">
            <w:rPr>
              <w:rFonts w:ascii="Times New Roman" w:hAnsi="Times New Roman" w:cs="Times New Roman"/>
              <w:b/>
              <w:bCs/>
              <w:sz w:val="20"/>
              <w:szCs w:val="20"/>
            </w:rPr>
            <w:t xml:space="preserve">: </w:t>
          </w:r>
          <w:r w:rsidRPr="00354ED0">
            <w:rPr>
              <w:rFonts w:ascii="Times New Roman" w:hAnsi="Times New Roman" w:cs="Times New Roman"/>
              <w:b/>
              <w:bCs/>
              <w:sz w:val="20"/>
              <w:szCs w:val="20"/>
            </w:rPr>
            <w:fldChar w:fldCharType="begin"/>
          </w:r>
          <w:r w:rsidRPr="00354ED0">
            <w:rPr>
              <w:rFonts w:ascii="Times New Roman" w:hAnsi="Times New Roman" w:cs="Times New Roman"/>
              <w:b/>
              <w:bCs/>
              <w:sz w:val="20"/>
              <w:szCs w:val="20"/>
            </w:rPr>
            <w:instrText xml:space="preserve">PAGE  </w:instrText>
          </w:r>
          <w:r w:rsidRPr="00354ED0">
            <w:rPr>
              <w:rFonts w:ascii="Times New Roman" w:hAnsi="Times New Roman" w:cs="Times New Roman"/>
              <w:b/>
              <w:bCs/>
              <w:sz w:val="20"/>
              <w:szCs w:val="20"/>
            </w:rPr>
            <w:fldChar w:fldCharType="separate"/>
          </w:r>
          <w:r w:rsidR="00E96990">
            <w:rPr>
              <w:rFonts w:ascii="Times New Roman" w:hAnsi="Times New Roman" w:cs="Times New Roman"/>
              <w:b/>
              <w:bCs/>
              <w:noProof/>
              <w:sz w:val="20"/>
              <w:szCs w:val="20"/>
            </w:rPr>
            <w:t>1</w:t>
          </w:r>
          <w:r w:rsidRPr="00354ED0">
            <w:rPr>
              <w:rFonts w:ascii="Times New Roman" w:hAnsi="Times New Roman" w:cs="Times New Roman"/>
              <w:b/>
              <w:bCs/>
              <w:sz w:val="20"/>
              <w:szCs w:val="20"/>
            </w:rPr>
            <w:fldChar w:fldCharType="end"/>
          </w:r>
        </w:p>
      </w:tc>
    </w:tr>
    <w:tr w:rsidR="00354ED0" w:rsidRPr="00354ED0" w:rsidTr="00B2179A">
      <w:tc>
        <w:tcPr>
          <w:tcW w:w="8512" w:type="dxa"/>
          <w:vMerge/>
          <w:tcBorders>
            <w:left w:val="nil"/>
            <w:bottom w:val="nil"/>
            <w:right w:val="nil"/>
          </w:tcBorders>
        </w:tcPr>
        <w:p w:rsidR="00354ED0" w:rsidRPr="00354ED0" w:rsidRDefault="00354ED0" w:rsidP="00F3670A">
          <w:pPr>
            <w:rPr>
              <w:rFonts w:ascii="Times New Roman" w:hAnsi="Times New Roman" w:cs="Times New Roman"/>
            </w:rPr>
          </w:pPr>
        </w:p>
      </w:tc>
      <w:tc>
        <w:tcPr>
          <w:tcW w:w="910" w:type="dxa"/>
          <w:tcBorders>
            <w:top w:val="nil"/>
            <w:left w:val="nil"/>
            <w:bottom w:val="nil"/>
            <w:right w:val="nil"/>
          </w:tcBorders>
          <w:vAlign w:val="center"/>
        </w:tcPr>
        <w:p w:rsidR="00354ED0" w:rsidRPr="00354ED0" w:rsidRDefault="00ED0065" w:rsidP="00ED0065">
          <w:pPr>
            <w:rPr>
              <w:rFonts w:ascii="Times New Roman" w:hAnsi="Times New Roman" w:cs="Times New Roman"/>
              <w:b/>
              <w:bCs/>
              <w:sz w:val="20"/>
              <w:szCs w:val="20"/>
            </w:rPr>
          </w:pPr>
          <w:r w:rsidRPr="00354ED0">
            <w:rPr>
              <w:rFonts w:ascii="Times New Roman" w:hAnsi="Times New Roman" w:cs="Times New Roman"/>
              <w:b/>
              <w:bCs/>
              <w:sz w:val="20"/>
              <w:szCs w:val="20"/>
            </w:rPr>
            <w:t>Tarih</w:t>
          </w:r>
        </w:p>
      </w:tc>
      <w:tc>
        <w:tcPr>
          <w:tcW w:w="1176" w:type="dxa"/>
          <w:tcBorders>
            <w:top w:val="nil"/>
            <w:left w:val="nil"/>
            <w:bottom w:val="nil"/>
            <w:right w:val="nil"/>
          </w:tcBorders>
          <w:vAlign w:val="center"/>
        </w:tcPr>
        <w:p w:rsidR="00354ED0" w:rsidRPr="00354ED0" w:rsidRDefault="00ED0065" w:rsidP="00ED0065">
          <w:pPr>
            <w:widowControl/>
            <w:tabs>
              <w:tab w:val="center" w:pos="4536"/>
              <w:tab w:val="right" w:pos="9072"/>
            </w:tabs>
            <w:autoSpaceDE/>
            <w:autoSpaceDN/>
            <w:adjustRightInd/>
            <w:rPr>
              <w:rFonts w:ascii="Times New Roman" w:hAnsi="Times New Roman" w:cs="Times New Roman"/>
              <w:b/>
              <w:bCs/>
              <w:sz w:val="20"/>
              <w:szCs w:val="20"/>
            </w:rPr>
          </w:pPr>
          <w:r w:rsidRPr="00354ED0">
            <w:rPr>
              <w:rFonts w:ascii="Times New Roman" w:hAnsi="Times New Roman" w:cs="Times New Roman"/>
              <w:b/>
              <w:bCs/>
              <w:sz w:val="20"/>
              <w:szCs w:val="20"/>
            </w:rPr>
            <w:t xml:space="preserve">: </w:t>
          </w:r>
          <w:r w:rsidRPr="00354ED0">
            <w:rPr>
              <w:rFonts w:ascii="Times New Roman" w:hAnsi="Times New Roman" w:cs="Times New Roman"/>
              <w:b/>
              <w:bCs/>
              <w:sz w:val="20"/>
              <w:szCs w:val="20"/>
              <w:lang w:val="x-none"/>
            </w:rPr>
            <w:t>18.05.2021</w:t>
          </w:r>
        </w:p>
      </w:tc>
    </w:tr>
  </w:tbl>
  <w:p w:rsidR="00DA0B29" w:rsidRPr="00DA0B29" w:rsidRDefault="00DA0B29" w:rsidP="00354ED0">
    <w:pPr>
      <w:rPr>
        <w:rFonts w:ascii="Times New Roman" w:hAnsi="Times New Roman" w:cs="Times New Roman"/>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853"/>
    <w:rsid w:val="000257DE"/>
    <w:rsid w:val="00046593"/>
    <w:rsid w:val="000A08EC"/>
    <w:rsid w:val="000D7652"/>
    <w:rsid w:val="000E0551"/>
    <w:rsid w:val="00116312"/>
    <w:rsid w:val="001166B1"/>
    <w:rsid w:val="00150FD5"/>
    <w:rsid w:val="00153D23"/>
    <w:rsid w:val="001555AF"/>
    <w:rsid w:val="00155779"/>
    <w:rsid w:val="00170DA3"/>
    <w:rsid w:val="0017102C"/>
    <w:rsid w:val="00180AC3"/>
    <w:rsid w:val="001A0838"/>
    <w:rsid w:val="001C7370"/>
    <w:rsid w:val="001D0F0F"/>
    <w:rsid w:val="001E0400"/>
    <w:rsid w:val="001E599D"/>
    <w:rsid w:val="001E776D"/>
    <w:rsid w:val="00205B71"/>
    <w:rsid w:val="00205EAA"/>
    <w:rsid w:val="00236447"/>
    <w:rsid w:val="0027303A"/>
    <w:rsid w:val="00274990"/>
    <w:rsid w:val="002A35F7"/>
    <w:rsid w:val="002A7ABF"/>
    <w:rsid w:val="002B6836"/>
    <w:rsid w:val="002C29BD"/>
    <w:rsid w:val="002C60F6"/>
    <w:rsid w:val="00312677"/>
    <w:rsid w:val="00332002"/>
    <w:rsid w:val="00340958"/>
    <w:rsid w:val="00354ED0"/>
    <w:rsid w:val="0037525E"/>
    <w:rsid w:val="003D1CC2"/>
    <w:rsid w:val="003E21E8"/>
    <w:rsid w:val="003E2C92"/>
    <w:rsid w:val="003F51C2"/>
    <w:rsid w:val="00433B53"/>
    <w:rsid w:val="00434059"/>
    <w:rsid w:val="00444D47"/>
    <w:rsid w:val="00487BF8"/>
    <w:rsid w:val="004D6949"/>
    <w:rsid w:val="004F6255"/>
    <w:rsid w:val="005035A4"/>
    <w:rsid w:val="00541E99"/>
    <w:rsid w:val="00566045"/>
    <w:rsid w:val="005C48EE"/>
    <w:rsid w:val="005D7537"/>
    <w:rsid w:val="005E04C9"/>
    <w:rsid w:val="006047E6"/>
    <w:rsid w:val="00617E4E"/>
    <w:rsid w:val="00636EA6"/>
    <w:rsid w:val="00642BAF"/>
    <w:rsid w:val="006540D9"/>
    <w:rsid w:val="006617DA"/>
    <w:rsid w:val="006619DC"/>
    <w:rsid w:val="00663749"/>
    <w:rsid w:val="00664012"/>
    <w:rsid w:val="0069670F"/>
    <w:rsid w:val="006A6559"/>
    <w:rsid w:val="006D4617"/>
    <w:rsid w:val="006F1CD5"/>
    <w:rsid w:val="007046F1"/>
    <w:rsid w:val="00726E42"/>
    <w:rsid w:val="0075194C"/>
    <w:rsid w:val="00752592"/>
    <w:rsid w:val="00761F99"/>
    <w:rsid w:val="00771721"/>
    <w:rsid w:val="0078317B"/>
    <w:rsid w:val="007B7E26"/>
    <w:rsid w:val="007C0BF3"/>
    <w:rsid w:val="008101F2"/>
    <w:rsid w:val="00813F0C"/>
    <w:rsid w:val="008569BC"/>
    <w:rsid w:val="008678A4"/>
    <w:rsid w:val="00873845"/>
    <w:rsid w:val="008744F7"/>
    <w:rsid w:val="008827DD"/>
    <w:rsid w:val="0089404A"/>
    <w:rsid w:val="008C5E75"/>
    <w:rsid w:val="008F3DA1"/>
    <w:rsid w:val="009037B2"/>
    <w:rsid w:val="00907DB7"/>
    <w:rsid w:val="0091082D"/>
    <w:rsid w:val="00934ACE"/>
    <w:rsid w:val="0093606D"/>
    <w:rsid w:val="00965B51"/>
    <w:rsid w:val="0096670B"/>
    <w:rsid w:val="009A2057"/>
    <w:rsid w:val="009A51E8"/>
    <w:rsid w:val="009C7280"/>
    <w:rsid w:val="009D6BA8"/>
    <w:rsid w:val="009E0DB4"/>
    <w:rsid w:val="009F59F4"/>
    <w:rsid w:val="00A21715"/>
    <w:rsid w:val="00A23B05"/>
    <w:rsid w:val="00A320B6"/>
    <w:rsid w:val="00A335BE"/>
    <w:rsid w:val="00A52468"/>
    <w:rsid w:val="00A52AF6"/>
    <w:rsid w:val="00A626CD"/>
    <w:rsid w:val="00A72B23"/>
    <w:rsid w:val="00A77221"/>
    <w:rsid w:val="00AE2A28"/>
    <w:rsid w:val="00B2179A"/>
    <w:rsid w:val="00B36C90"/>
    <w:rsid w:val="00B44943"/>
    <w:rsid w:val="00B5654B"/>
    <w:rsid w:val="00B67814"/>
    <w:rsid w:val="00B7181B"/>
    <w:rsid w:val="00B74D78"/>
    <w:rsid w:val="00BC4832"/>
    <w:rsid w:val="00BC5C24"/>
    <w:rsid w:val="00C84596"/>
    <w:rsid w:val="00CA2C4A"/>
    <w:rsid w:val="00CA3F94"/>
    <w:rsid w:val="00CC45B6"/>
    <w:rsid w:val="00CC5853"/>
    <w:rsid w:val="00CD3F54"/>
    <w:rsid w:val="00D01A48"/>
    <w:rsid w:val="00D40737"/>
    <w:rsid w:val="00D75AA8"/>
    <w:rsid w:val="00DA0B29"/>
    <w:rsid w:val="00DA2B8A"/>
    <w:rsid w:val="00DA57D6"/>
    <w:rsid w:val="00DC63B9"/>
    <w:rsid w:val="00DD4E1D"/>
    <w:rsid w:val="00DF4E11"/>
    <w:rsid w:val="00E26A16"/>
    <w:rsid w:val="00E30719"/>
    <w:rsid w:val="00E30DD7"/>
    <w:rsid w:val="00E336DB"/>
    <w:rsid w:val="00E62D0F"/>
    <w:rsid w:val="00E72454"/>
    <w:rsid w:val="00E96990"/>
    <w:rsid w:val="00ED0065"/>
    <w:rsid w:val="00EE009A"/>
    <w:rsid w:val="00EF1A74"/>
    <w:rsid w:val="00F02E39"/>
    <w:rsid w:val="00F04B17"/>
    <w:rsid w:val="00F144F3"/>
    <w:rsid w:val="00F15A3F"/>
    <w:rsid w:val="00F335CE"/>
    <w:rsid w:val="00F357D0"/>
    <w:rsid w:val="00F3670A"/>
    <w:rsid w:val="00F46953"/>
    <w:rsid w:val="00F52088"/>
    <w:rsid w:val="00F54C63"/>
    <w:rsid w:val="00F5582B"/>
    <w:rsid w:val="00F624CC"/>
    <w:rsid w:val="00F839D2"/>
    <w:rsid w:val="00F86C37"/>
    <w:rsid w:val="00F93F04"/>
    <w:rsid w:val="00F94FA2"/>
    <w:rsid w:val="00F97B5E"/>
    <w:rsid w:val="00FD69D4"/>
    <w:rsid w:val="00FF6744"/>
    <w:rsid w:val="00FF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49F9AE3-8911-4E2F-B625-80CA8E11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16"/>
      <w:szCs w:val="16"/>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ORBASLIK">
    <w:name w:val="RAPOR BASLIK"/>
    <w:uiPriority w:val="99"/>
    <w:pPr>
      <w:widowControl w:val="0"/>
      <w:autoSpaceDE w:val="0"/>
      <w:autoSpaceDN w:val="0"/>
      <w:adjustRightInd w:val="0"/>
      <w:spacing w:before="113" w:after="113" w:line="240" w:lineRule="auto"/>
      <w:jc w:val="center"/>
    </w:pPr>
    <w:rPr>
      <w:rFonts w:ascii="Arial" w:hAnsi="Arial" w:cs="Arial"/>
      <w:b/>
      <w:bCs/>
      <w:sz w:val="32"/>
      <w:szCs w:val="32"/>
      <w:lang w:val="tr-TR" w:eastAsia="tr-TR"/>
    </w:rPr>
  </w:style>
  <w:style w:type="paragraph" w:customStyle="1" w:styleId="GRUPADI">
    <w:name w:val="GRUP ADI"/>
    <w:uiPriority w:val="99"/>
    <w:pPr>
      <w:widowControl w:val="0"/>
      <w:autoSpaceDE w:val="0"/>
      <w:autoSpaceDN w:val="0"/>
      <w:adjustRightInd w:val="0"/>
      <w:spacing w:before="113" w:after="113" w:line="240" w:lineRule="auto"/>
    </w:pPr>
    <w:rPr>
      <w:rFonts w:ascii="Arial" w:hAnsi="Arial" w:cs="Arial"/>
      <w:b/>
      <w:bCs/>
      <w:sz w:val="18"/>
      <w:szCs w:val="18"/>
      <w:lang w:val="tr-TR" w:eastAsia="tr-TR"/>
    </w:rPr>
  </w:style>
  <w:style w:type="paragraph" w:customStyle="1" w:styleId="ALTBASLIK">
    <w:name w:val="ALT BASLIK"/>
    <w:uiPriority w:val="99"/>
    <w:pPr>
      <w:widowControl w:val="0"/>
      <w:autoSpaceDE w:val="0"/>
      <w:autoSpaceDN w:val="0"/>
      <w:adjustRightInd w:val="0"/>
      <w:spacing w:after="0" w:line="240" w:lineRule="auto"/>
    </w:pPr>
    <w:rPr>
      <w:rFonts w:ascii="Arial" w:hAnsi="Arial" w:cs="Arial"/>
      <w:color w:val="000000"/>
      <w:sz w:val="16"/>
      <w:szCs w:val="16"/>
      <w:lang w:val="tr-TR" w:eastAsia="tr-TR"/>
    </w:rPr>
  </w:style>
  <w:style w:type="paragraph" w:customStyle="1" w:styleId="TABLOBASLIK">
    <w:name w:val="TABLO BASLIK"/>
    <w:uiPriority w:val="99"/>
    <w:pPr>
      <w:widowControl w:val="0"/>
      <w:autoSpaceDE w:val="0"/>
      <w:autoSpaceDN w:val="0"/>
      <w:adjustRightInd w:val="0"/>
      <w:spacing w:after="0" w:line="240" w:lineRule="auto"/>
      <w:jc w:val="center"/>
    </w:pPr>
    <w:rPr>
      <w:rFonts w:ascii="Arial" w:hAnsi="Arial" w:cs="Arial"/>
      <w:color w:val="000000"/>
      <w:sz w:val="16"/>
      <w:szCs w:val="16"/>
      <w:lang w:val="tr-TR" w:eastAsia="tr-TR"/>
    </w:rPr>
  </w:style>
  <w:style w:type="paragraph" w:customStyle="1" w:styleId="TABLOBOL">
    <w:name w:val="TABLO BOL"/>
    <w:uiPriority w:val="99"/>
    <w:pPr>
      <w:widowControl w:val="0"/>
      <w:autoSpaceDE w:val="0"/>
      <w:autoSpaceDN w:val="0"/>
      <w:adjustRightInd w:val="0"/>
      <w:spacing w:after="0" w:line="240" w:lineRule="auto"/>
    </w:pPr>
    <w:rPr>
      <w:rFonts w:ascii="Arial" w:hAnsi="Arial" w:cs="Arial"/>
      <w:sz w:val="4"/>
      <w:szCs w:val="4"/>
      <w:lang w:val="tr-TR" w:eastAsia="tr-TR"/>
    </w:rPr>
  </w:style>
  <w:style w:type="paragraph" w:styleId="Footer">
    <w:name w:val="footer"/>
    <w:basedOn w:val="Normal"/>
    <w:link w:val="Footer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styleId="PageNumber">
    <w:name w:val="page number"/>
    <w:basedOn w:val="DefaultParagraphFont"/>
    <w:uiPriority w:val="99"/>
    <w:rsid w:val="00726E42"/>
    <w:rPr>
      <w:rFonts w:cs="Times New Roman"/>
    </w:rPr>
  </w:style>
  <w:style w:type="character" w:customStyle="1" w:styleId="FooterChar">
    <w:name w:val="Footer Char"/>
    <w:basedOn w:val="DefaultParagraphFont"/>
    <w:link w:val="Footer"/>
    <w:uiPriority w:val="99"/>
    <w:locked/>
    <w:rPr>
      <w:rFonts w:cs="Times New Roman"/>
      <w:sz w:val="24"/>
      <w:szCs w:val="24"/>
    </w:rPr>
  </w:style>
  <w:style w:type="paragraph" w:styleId="Header">
    <w:name w:val="header"/>
    <w:basedOn w:val="Normal"/>
    <w:link w:val="Header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styleId="Hyperlink">
    <w:name w:val="Hyperlink"/>
    <w:basedOn w:val="DefaultParagraphFont"/>
    <w:uiPriority w:val="99"/>
    <w:rsid w:val="00BC4832"/>
    <w:rPr>
      <w:rFonts w:cs="Times New Roman"/>
      <w:color w:val="0000FF"/>
      <w:u w:val="single"/>
    </w:r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8827DD"/>
    <w:pPr>
      <w:spacing w:after="0" w:line="240" w:lineRule="auto"/>
    </w:pPr>
    <w:rPr>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uiPriority w:val="99"/>
    <w:rsid w:val="001555AF"/>
    <w:pPr>
      <w:spacing w:after="0" w:line="240" w:lineRule="auto"/>
    </w:pPr>
    <w:rPr>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430164">
      <w:marLeft w:val="0"/>
      <w:marRight w:val="0"/>
      <w:marTop w:val="0"/>
      <w:marBottom w:val="0"/>
      <w:divBdr>
        <w:top w:val="none" w:sz="0" w:space="0" w:color="auto"/>
        <w:left w:val="none" w:sz="0" w:space="0" w:color="auto"/>
        <w:bottom w:val="none" w:sz="0" w:space="0" w:color="auto"/>
        <w:right w:val="none" w:sz="0" w:space="0" w:color="auto"/>
      </w:divBdr>
    </w:div>
    <w:div w:id="1374430165">
      <w:marLeft w:val="0"/>
      <w:marRight w:val="0"/>
      <w:marTop w:val="0"/>
      <w:marBottom w:val="0"/>
      <w:divBdr>
        <w:top w:val="none" w:sz="0" w:space="0" w:color="auto"/>
        <w:left w:val="none" w:sz="0" w:space="0" w:color="auto"/>
        <w:bottom w:val="none" w:sz="0" w:space="0" w:color="auto"/>
        <w:right w:val="none" w:sz="0" w:space="0" w:color="auto"/>
      </w:divBdr>
    </w:div>
    <w:div w:id="1374430166">
      <w:marLeft w:val="0"/>
      <w:marRight w:val="0"/>
      <w:marTop w:val="0"/>
      <w:marBottom w:val="0"/>
      <w:divBdr>
        <w:top w:val="none" w:sz="0" w:space="0" w:color="auto"/>
        <w:left w:val="none" w:sz="0" w:space="0" w:color="auto"/>
        <w:bottom w:val="none" w:sz="0" w:space="0" w:color="auto"/>
        <w:right w:val="none" w:sz="0" w:space="0" w:color="auto"/>
      </w:divBdr>
    </w:div>
    <w:div w:id="1374430167">
      <w:marLeft w:val="0"/>
      <w:marRight w:val="0"/>
      <w:marTop w:val="0"/>
      <w:marBottom w:val="0"/>
      <w:divBdr>
        <w:top w:val="none" w:sz="0" w:space="0" w:color="auto"/>
        <w:left w:val="none" w:sz="0" w:space="0" w:color="auto"/>
        <w:bottom w:val="none" w:sz="0" w:space="0" w:color="auto"/>
        <w:right w:val="none" w:sz="0" w:space="0" w:color="auto"/>
      </w:divBdr>
    </w:div>
    <w:div w:id="1374430168">
      <w:marLeft w:val="0"/>
      <w:marRight w:val="0"/>
      <w:marTop w:val="0"/>
      <w:marBottom w:val="0"/>
      <w:divBdr>
        <w:top w:val="none" w:sz="0" w:space="0" w:color="auto"/>
        <w:left w:val="none" w:sz="0" w:space="0" w:color="auto"/>
        <w:bottom w:val="none" w:sz="0" w:space="0" w:color="auto"/>
        <w:right w:val="none" w:sz="0" w:space="0" w:color="auto"/>
      </w:divBdr>
    </w:div>
    <w:div w:id="1374430169">
      <w:marLeft w:val="0"/>
      <w:marRight w:val="0"/>
      <w:marTop w:val="0"/>
      <w:marBottom w:val="0"/>
      <w:divBdr>
        <w:top w:val="none" w:sz="0" w:space="0" w:color="auto"/>
        <w:left w:val="none" w:sz="0" w:space="0" w:color="auto"/>
        <w:bottom w:val="none" w:sz="0" w:space="0" w:color="auto"/>
        <w:right w:val="none" w:sz="0" w:space="0" w:color="auto"/>
      </w:divBdr>
    </w:div>
    <w:div w:id="1374430170">
      <w:marLeft w:val="0"/>
      <w:marRight w:val="0"/>
      <w:marTop w:val="0"/>
      <w:marBottom w:val="0"/>
      <w:divBdr>
        <w:top w:val="none" w:sz="0" w:space="0" w:color="auto"/>
        <w:left w:val="none" w:sz="0" w:space="0" w:color="auto"/>
        <w:bottom w:val="none" w:sz="0" w:space="0" w:color="auto"/>
        <w:right w:val="none" w:sz="0" w:space="0" w:color="auto"/>
      </w:divBdr>
    </w:div>
    <w:div w:id="1374430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4</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word</cp:lastModifiedBy>
  <cp:revision>2</cp:revision>
  <dcterms:created xsi:type="dcterms:W3CDTF">2021-09-10T10:39:00Z</dcterms:created>
  <dcterms:modified xsi:type="dcterms:W3CDTF">2021-09-10T10:39:00Z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
    <vt:lpwstr>Created by WPTools</vt:lpwstr>
  </property>
</Properties>
</file>